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8030B">
      <w:pPr>
        <w:spacing w:before="312" w:beforeLines="100" w:after="312" w:afterLines="100"/>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安徽工业职业技术学院202</w:t>
      </w:r>
      <w:r>
        <w:rPr>
          <w:rFonts w:hint="eastAsia" w:asciiTheme="majorEastAsia" w:hAnsiTheme="majorEastAsia" w:eastAsiaTheme="majorEastAsia"/>
          <w:b/>
          <w:sz w:val="36"/>
          <w:szCs w:val="36"/>
          <w:lang w:val="en-US" w:eastAsia="zh-CN"/>
        </w:rPr>
        <w:t>5</w:t>
      </w:r>
      <w:r>
        <w:rPr>
          <w:rFonts w:hint="eastAsia" w:asciiTheme="majorEastAsia" w:hAnsiTheme="majorEastAsia" w:eastAsiaTheme="majorEastAsia"/>
          <w:b/>
          <w:sz w:val="36"/>
          <w:szCs w:val="36"/>
        </w:rPr>
        <w:t>年度人才引进（第一批）需求计划一览表</w:t>
      </w:r>
    </w:p>
    <w:tbl>
      <w:tblPr>
        <w:tblStyle w:val="4"/>
        <w:tblW w:w="16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9"/>
        <w:gridCol w:w="1738"/>
        <w:gridCol w:w="1826"/>
        <w:gridCol w:w="765"/>
        <w:gridCol w:w="645"/>
        <w:gridCol w:w="645"/>
        <w:gridCol w:w="750"/>
        <w:gridCol w:w="8578"/>
      </w:tblGrid>
      <w:tr w14:paraId="1DDF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549" w:type="dxa"/>
            <w:vMerge w:val="restart"/>
            <w:vAlign w:val="center"/>
          </w:tcPr>
          <w:p w14:paraId="7ED93B37">
            <w:pPr>
              <w:spacing w:line="400" w:lineRule="exact"/>
              <w:jc w:val="center"/>
              <w:rPr>
                <w:rFonts w:cs="Arial" w:asciiTheme="majorEastAsia" w:hAnsiTheme="majorEastAsia" w:eastAsiaTheme="majorEastAsia"/>
                <w:b/>
                <w:bCs/>
                <w:color w:val="000000"/>
                <w:kern w:val="0"/>
              </w:rPr>
            </w:pPr>
            <w:r>
              <w:rPr>
                <w:rFonts w:hint="eastAsia" w:cs="Arial" w:asciiTheme="majorEastAsia" w:hAnsiTheme="majorEastAsia" w:eastAsiaTheme="majorEastAsia"/>
                <w:b/>
                <w:bCs/>
                <w:color w:val="000000"/>
                <w:kern w:val="0"/>
              </w:rPr>
              <w:t>岗位</w:t>
            </w:r>
          </w:p>
          <w:p w14:paraId="6D7A88C4">
            <w:pPr>
              <w:spacing w:line="400" w:lineRule="exact"/>
              <w:jc w:val="center"/>
              <w:rPr>
                <w:rFonts w:cs="Arial" w:asciiTheme="majorEastAsia" w:hAnsiTheme="majorEastAsia" w:eastAsiaTheme="majorEastAsia"/>
                <w:bCs/>
                <w:color w:val="000000"/>
                <w:kern w:val="0"/>
              </w:rPr>
            </w:pPr>
            <w:r>
              <w:rPr>
                <w:rFonts w:hint="eastAsia" w:cs="Arial" w:asciiTheme="majorEastAsia" w:hAnsiTheme="majorEastAsia" w:eastAsiaTheme="majorEastAsia"/>
                <w:b/>
                <w:bCs/>
                <w:color w:val="000000"/>
                <w:kern w:val="0"/>
              </w:rPr>
              <w:t>类别</w:t>
            </w:r>
          </w:p>
        </w:tc>
        <w:tc>
          <w:tcPr>
            <w:tcW w:w="1738" w:type="dxa"/>
            <w:vMerge w:val="restart"/>
            <w:vAlign w:val="center"/>
          </w:tcPr>
          <w:p w14:paraId="47CC935B">
            <w:pPr>
              <w:spacing w:line="400" w:lineRule="exact"/>
              <w:jc w:val="center"/>
              <w:rPr>
                <w:rFonts w:cs="Arial" w:asciiTheme="majorEastAsia" w:hAnsiTheme="majorEastAsia" w:eastAsiaTheme="majorEastAsia"/>
                <w:bCs/>
                <w:color w:val="000000"/>
                <w:kern w:val="0"/>
              </w:rPr>
            </w:pPr>
            <w:r>
              <w:rPr>
                <w:rFonts w:hint="eastAsia" w:cs="Arial" w:asciiTheme="majorEastAsia" w:hAnsiTheme="majorEastAsia" w:eastAsiaTheme="majorEastAsia"/>
                <w:b/>
                <w:bCs/>
                <w:color w:val="000000"/>
                <w:kern w:val="0"/>
              </w:rPr>
              <w:t>单位、部门</w:t>
            </w:r>
          </w:p>
        </w:tc>
        <w:tc>
          <w:tcPr>
            <w:tcW w:w="1826" w:type="dxa"/>
            <w:vMerge w:val="restart"/>
            <w:vAlign w:val="center"/>
          </w:tcPr>
          <w:p w14:paraId="574A7970">
            <w:pPr>
              <w:spacing w:line="400" w:lineRule="exact"/>
              <w:jc w:val="center"/>
              <w:rPr>
                <w:rFonts w:cs="Arial" w:asciiTheme="majorEastAsia" w:hAnsiTheme="majorEastAsia" w:eastAsiaTheme="majorEastAsia"/>
                <w:bCs/>
                <w:color w:val="000000"/>
                <w:kern w:val="0"/>
              </w:rPr>
            </w:pPr>
            <w:r>
              <w:rPr>
                <w:rFonts w:hint="eastAsia" w:cs="Arial" w:asciiTheme="majorEastAsia" w:hAnsiTheme="majorEastAsia" w:eastAsiaTheme="majorEastAsia"/>
                <w:b/>
                <w:bCs/>
                <w:color w:val="000000"/>
                <w:kern w:val="0"/>
              </w:rPr>
              <w:t>岗位名称</w:t>
            </w:r>
          </w:p>
        </w:tc>
        <w:tc>
          <w:tcPr>
            <w:tcW w:w="765" w:type="dxa"/>
            <w:vMerge w:val="restart"/>
            <w:vAlign w:val="center"/>
          </w:tcPr>
          <w:p w14:paraId="5E9642BA">
            <w:pPr>
              <w:spacing w:line="400" w:lineRule="exact"/>
              <w:jc w:val="center"/>
              <w:rPr>
                <w:rFonts w:cs="Arial" w:asciiTheme="majorEastAsia" w:hAnsiTheme="majorEastAsia" w:eastAsiaTheme="majorEastAsia"/>
                <w:b/>
                <w:bCs/>
                <w:color w:val="000000"/>
                <w:kern w:val="0"/>
              </w:rPr>
            </w:pPr>
            <w:r>
              <w:rPr>
                <w:rFonts w:hint="eastAsia" w:cs="Arial" w:asciiTheme="majorEastAsia" w:hAnsiTheme="majorEastAsia" w:eastAsiaTheme="majorEastAsia"/>
                <w:b/>
                <w:bCs/>
                <w:color w:val="000000"/>
                <w:kern w:val="0"/>
              </w:rPr>
              <w:t>计</w:t>
            </w:r>
          </w:p>
          <w:p w14:paraId="579FF2FC">
            <w:pPr>
              <w:spacing w:line="400" w:lineRule="exact"/>
              <w:jc w:val="center"/>
              <w:rPr>
                <w:rFonts w:cs="Arial" w:asciiTheme="majorEastAsia" w:hAnsiTheme="majorEastAsia" w:eastAsiaTheme="majorEastAsia"/>
                <w:b/>
                <w:bCs/>
                <w:color w:val="000000"/>
                <w:kern w:val="0"/>
              </w:rPr>
            </w:pPr>
            <w:r>
              <w:rPr>
                <w:rFonts w:hint="eastAsia" w:cs="Arial" w:asciiTheme="majorEastAsia" w:hAnsiTheme="majorEastAsia" w:eastAsiaTheme="majorEastAsia"/>
                <w:b/>
                <w:bCs/>
                <w:color w:val="000000"/>
                <w:kern w:val="0"/>
              </w:rPr>
              <w:t>划</w:t>
            </w:r>
          </w:p>
          <w:p w14:paraId="3B5C0BE4">
            <w:pPr>
              <w:spacing w:line="400" w:lineRule="exact"/>
              <w:jc w:val="center"/>
              <w:rPr>
                <w:rFonts w:cs="Arial" w:asciiTheme="majorEastAsia" w:hAnsiTheme="majorEastAsia" w:eastAsiaTheme="majorEastAsia"/>
                <w:bCs/>
                <w:color w:val="000000"/>
                <w:kern w:val="0"/>
              </w:rPr>
            </w:pPr>
            <w:r>
              <w:rPr>
                <w:rFonts w:hint="eastAsia" w:cs="Arial" w:asciiTheme="majorEastAsia" w:hAnsiTheme="majorEastAsia" w:eastAsiaTheme="majorEastAsia"/>
                <w:b/>
                <w:bCs/>
                <w:color w:val="000000"/>
                <w:kern w:val="0"/>
              </w:rPr>
              <w:t>数</w:t>
            </w:r>
          </w:p>
        </w:tc>
        <w:tc>
          <w:tcPr>
            <w:tcW w:w="2040" w:type="dxa"/>
            <w:gridSpan w:val="3"/>
            <w:vAlign w:val="center"/>
          </w:tcPr>
          <w:p w14:paraId="69AFE84B">
            <w:pPr>
              <w:spacing w:line="400" w:lineRule="exact"/>
              <w:jc w:val="center"/>
              <w:rPr>
                <w:rFonts w:cs="Arial" w:asciiTheme="majorEastAsia" w:hAnsiTheme="majorEastAsia" w:eastAsiaTheme="majorEastAsia"/>
                <w:b/>
                <w:bCs/>
                <w:color w:val="000000"/>
                <w:kern w:val="0"/>
              </w:rPr>
            </w:pPr>
            <w:r>
              <w:rPr>
                <w:rFonts w:hint="eastAsia" w:cs="Arial" w:asciiTheme="majorEastAsia" w:hAnsiTheme="majorEastAsia" w:eastAsiaTheme="majorEastAsia"/>
                <w:b/>
                <w:bCs/>
                <w:color w:val="000000"/>
                <w:kern w:val="0"/>
              </w:rPr>
              <w:t>学历</w:t>
            </w:r>
          </w:p>
        </w:tc>
        <w:tc>
          <w:tcPr>
            <w:tcW w:w="8578" w:type="dxa"/>
            <w:vMerge w:val="restart"/>
            <w:vAlign w:val="center"/>
          </w:tcPr>
          <w:p w14:paraId="682D4CAB">
            <w:pPr>
              <w:widowControl/>
              <w:spacing w:line="520" w:lineRule="exact"/>
              <w:jc w:val="center"/>
              <w:rPr>
                <w:rFonts w:cs="Arial" w:asciiTheme="majorEastAsia" w:hAnsiTheme="majorEastAsia" w:eastAsiaTheme="majorEastAsia"/>
                <w:bCs/>
                <w:color w:val="000000"/>
                <w:kern w:val="0"/>
              </w:rPr>
            </w:pPr>
            <w:r>
              <w:rPr>
                <w:rFonts w:hint="eastAsia" w:cs="Arial" w:asciiTheme="majorEastAsia" w:hAnsiTheme="majorEastAsia" w:eastAsiaTheme="majorEastAsia"/>
                <w:b/>
                <w:bCs/>
                <w:color w:val="000000"/>
                <w:kern w:val="0"/>
              </w:rPr>
              <w:t>相关要求</w:t>
            </w:r>
          </w:p>
        </w:tc>
      </w:tr>
      <w:tr w14:paraId="6ED2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549" w:type="dxa"/>
            <w:vMerge w:val="continue"/>
            <w:vAlign w:val="center"/>
          </w:tcPr>
          <w:p w14:paraId="5A85C34D">
            <w:pPr>
              <w:widowControl/>
              <w:spacing w:line="400" w:lineRule="exact"/>
              <w:jc w:val="center"/>
              <w:rPr>
                <w:rFonts w:cs="Arial" w:asciiTheme="majorEastAsia" w:hAnsiTheme="majorEastAsia" w:eastAsiaTheme="majorEastAsia"/>
                <w:b/>
                <w:bCs/>
                <w:color w:val="000000"/>
                <w:kern w:val="0"/>
              </w:rPr>
            </w:pPr>
          </w:p>
        </w:tc>
        <w:tc>
          <w:tcPr>
            <w:tcW w:w="1738" w:type="dxa"/>
            <w:vMerge w:val="continue"/>
            <w:vAlign w:val="center"/>
          </w:tcPr>
          <w:p w14:paraId="4FA477B6">
            <w:pPr>
              <w:widowControl/>
              <w:spacing w:line="400" w:lineRule="exact"/>
              <w:jc w:val="center"/>
              <w:rPr>
                <w:rFonts w:cs="Arial" w:asciiTheme="majorEastAsia" w:hAnsiTheme="majorEastAsia" w:eastAsiaTheme="majorEastAsia"/>
                <w:b/>
                <w:bCs/>
                <w:color w:val="000000"/>
                <w:kern w:val="0"/>
              </w:rPr>
            </w:pPr>
          </w:p>
        </w:tc>
        <w:tc>
          <w:tcPr>
            <w:tcW w:w="1826" w:type="dxa"/>
            <w:vMerge w:val="continue"/>
            <w:vAlign w:val="center"/>
          </w:tcPr>
          <w:p w14:paraId="24BF280A">
            <w:pPr>
              <w:widowControl/>
              <w:spacing w:line="400" w:lineRule="exact"/>
              <w:jc w:val="center"/>
              <w:rPr>
                <w:rFonts w:cs="Arial" w:asciiTheme="majorEastAsia" w:hAnsiTheme="majorEastAsia" w:eastAsiaTheme="majorEastAsia"/>
                <w:b/>
                <w:bCs/>
                <w:color w:val="000000"/>
                <w:kern w:val="0"/>
              </w:rPr>
            </w:pPr>
          </w:p>
        </w:tc>
        <w:tc>
          <w:tcPr>
            <w:tcW w:w="765" w:type="dxa"/>
            <w:vMerge w:val="continue"/>
            <w:vAlign w:val="center"/>
          </w:tcPr>
          <w:p w14:paraId="1CC8B338">
            <w:pPr>
              <w:widowControl/>
              <w:spacing w:line="400" w:lineRule="exact"/>
              <w:jc w:val="center"/>
              <w:rPr>
                <w:rFonts w:cs="Arial" w:asciiTheme="majorEastAsia" w:hAnsiTheme="majorEastAsia" w:eastAsiaTheme="majorEastAsia"/>
                <w:bCs/>
                <w:color w:val="000000"/>
                <w:kern w:val="0"/>
              </w:rPr>
            </w:pPr>
          </w:p>
        </w:tc>
        <w:tc>
          <w:tcPr>
            <w:tcW w:w="645" w:type="dxa"/>
            <w:vAlign w:val="center"/>
          </w:tcPr>
          <w:p w14:paraId="199B4EE5">
            <w:pPr>
              <w:spacing w:line="400" w:lineRule="exact"/>
              <w:jc w:val="center"/>
              <w:rPr>
                <w:rFonts w:hint="eastAsia" w:cs="Arial" w:asciiTheme="majorEastAsia" w:hAnsiTheme="majorEastAsia" w:eastAsiaTheme="majorEastAsia"/>
                <w:b/>
                <w:bCs/>
                <w:color w:val="000000"/>
                <w:kern w:val="0"/>
                <w:lang w:val="en-US" w:eastAsia="zh-CN"/>
              </w:rPr>
            </w:pPr>
            <w:r>
              <w:rPr>
                <w:rFonts w:hint="eastAsia" w:cs="Arial" w:asciiTheme="majorEastAsia" w:hAnsiTheme="majorEastAsia" w:eastAsiaTheme="majorEastAsia"/>
                <w:b/>
                <w:bCs/>
                <w:color w:val="000000"/>
                <w:kern w:val="0"/>
                <w:lang w:val="en-US" w:eastAsia="zh-CN"/>
              </w:rPr>
              <w:t>专</w:t>
            </w:r>
            <w:r>
              <w:rPr>
                <w:rFonts w:hint="eastAsia" w:cs="Arial" w:asciiTheme="majorEastAsia" w:hAnsiTheme="majorEastAsia" w:eastAsiaTheme="majorEastAsia"/>
                <w:b/>
                <w:bCs/>
                <w:color w:val="000000"/>
                <w:kern w:val="0"/>
              </w:rPr>
              <w:t>科</w:t>
            </w:r>
          </w:p>
        </w:tc>
        <w:tc>
          <w:tcPr>
            <w:tcW w:w="645" w:type="dxa"/>
            <w:vAlign w:val="center"/>
          </w:tcPr>
          <w:p w14:paraId="6385A1B9">
            <w:pPr>
              <w:spacing w:line="400" w:lineRule="exact"/>
              <w:jc w:val="center"/>
              <w:rPr>
                <w:rFonts w:cs="Arial" w:asciiTheme="majorEastAsia" w:hAnsiTheme="majorEastAsia" w:eastAsiaTheme="majorEastAsia"/>
                <w:b/>
                <w:bCs/>
                <w:color w:val="000000"/>
                <w:kern w:val="0"/>
              </w:rPr>
            </w:pPr>
            <w:r>
              <w:rPr>
                <w:rFonts w:hint="eastAsia" w:cs="Arial" w:asciiTheme="majorEastAsia" w:hAnsiTheme="majorEastAsia" w:eastAsiaTheme="majorEastAsia"/>
                <w:b/>
                <w:bCs/>
                <w:color w:val="000000"/>
                <w:kern w:val="0"/>
              </w:rPr>
              <w:t>本科</w:t>
            </w:r>
          </w:p>
        </w:tc>
        <w:tc>
          <w:tcPr>
            <w:tcW w:w="750" w:type="dxa"/>
            <w:vAlign w:val="center"/>
          </w:tcPr>
          <w:p w14:paraId="105F00CB">
            <w:pPr>
              <w:spacing w:line="400" w:lineRule="exact"/>
              <w:jc w:val="center"/>
              <w:rPr>
                <w:rFonts w:cs="Arial" w:asciiTheme="majorEastAsia" w:hAnsiTheme="majorEastAsia" w:eastAsiaTheme="majorEastAsia"/>
                <w:b/>
                <w:bCs/>
                <w:color w:val="000000"/>
                <w:kern w:val="0"/>
              </w:rPr>
            </w:pPr>
            <w:r>
              <w:rPr>
                <w:rFonts w:hint="eastAsia" w:cs="Arial" w:asciiTheme="majorEastAsia" w:hAnsiTheme="majorEastAsia" w:eastAsiaTheme="majorEastAsia"/>
                <w:b/>
                <w:bCs/>
                <w:color w:val="000000"/>
                <w:kern w:val="0"/>
              </w:rPr>
              <w:t>硕研</w:t>
            </w:r>
          </w:p>
        </w:tc>
        <w:tc>
          <w:tcPr>
            <w:tcW w:w="8578" w:type="dxa"/>
            <w:vMerge w:val="continue"/>
          </w:tcPr>
          <w:p w14:paraId="019F0224">
            <w:pPr>
              <w:widowControl/>
              <w:spacing w:line="270" w:lineRule="atLeast"/>
              <w:jc w:val="left"/>
              <w:rPr>
                <w:rFonts w:cs="Arial" w:asciiTheme="majorEastAsia" w:hAnsiTheme="majorEastAsia" w:eastAsiaTheme="majorEastAsia"/>
                <w:bCs/>
                <w:color w:val="000000"/>
                <w:kern w:val="0"/>
              </w:rPr>
            </w:pPr>
          </w:p>
        </w:tc>
      </w:tr>
      <w:tr w14:paraId="0BE3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4479C87D">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68093CDA">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基础部</w:t>
            </w:r>
          </w:p>
        </w:tc>
        <w:tc>
          <w:tcPr>
            <w:tcW w:w="1826" w:type="dxa"/>
            <w:vAlign w:val="center"/>
          </w:tcPr>
          <w:p w14:paraId="5C030E3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体育</w:t>
            </w:r>
          </w:p>
          <w:p w14:paraId="0071330E">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477D8E0B">
            <w:pPr>
              <w:widowControl/>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645" w:type="dxa"/>
            <w:vAlign w:val="center"/>
          </w:tcPr>
          <w:p w14:paraId="0EE47C0B">
            <w:pPr>
              <w:widowControl/>
              <w:jc w:val="center"/>
              <w:rPr>
                <w:rFonts w:cs="仿宋" w:asciiTheme="majorEastAsia" w:hAnsiTheme="majorEastAsia" w:eastAsiaTheme="majorEastAsia"/>
                <w:color w:val="000000"/>
                <w:szCs w:val="21"/>
              </w:rPr>
            </w:pPr>
          </w:p>
        </w:tc>
        <w:tc>
          <w:tcPr>
            <w:tcW w:w="645" w:type="dxa"/>
            <w:vAlign w:val="center"/>
          </w:tcPr>
          <w:p w14:paraId="52D5C834">
            <w:pPr>
              <w:widowControl/>
              <w:jc w:val="center"/>
              <w:rPr>
                <w:rFonts w:cs="仿宋" w:asciiTheme="majorEastAsia" w:hAnsiTheme="majorEastAsia" w:eastAsiaTheme="majorEastAsia"/>
                <w:color w:val="000000"/>
                <w:szCs w:val="21"/>
              </w:rPr>
            </w:pPr>
          </w:p>
        </w:tc>
        <w:tc>
          <w:tcPr>
            <w:tcW w:w="750" w:type="dxa"/>
            <w:vAlign w:val="center"/>
          </w:tcPr>
          <w:p w14:paraId="05774D73">
            <w:pPr>
              <w:widowControl/>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8578" w:type="dxa"/>
            <w:vAlign w:val="center"/>
          </w:tcPr>
          <w:p w14:paraId="0199659F">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1.30周岁以下全日制硕士研究生；专项运动水平达到二级运动员及以上标准，学位可放宽至全日制本科（学士）。</w:t>
            </w:r>
          </w:p>
          <w:p w14:paraId="16EB55CC">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2.篮球</w:t>
            </w:r>
            <w:r>
              <w:rPr>
                <w:rFonts w:hint="eastAsia" w:asciiTheme="minorEastAsia" w:hAnsiTheme="minorEastAsia" w:eastAsiaTheme="minorEastAsia" w:cstheme="minorEastAsia"/>
                <w:sz w:val="21"/>
                <w:szCs w:val="21"/>
                <w:highlight w:val="none"/>
                <w:lang w:val="en-US" w:eastAsia="zh-CN"/>
              </w:rPr>
              <w:t>方向</w:t>
            </w:r>
            <w:r>
              <w:rPr>
                <w:rFonts w:hint="eastAsia" w:asciiTheme="minorEastAsia" w:hAnsiTheme="minorEastAsia" w:eastAsiaTheme="minorEastAsia" w:cstheme="minorEastAsia"/>
                <w:sz w:val="21"/>
                <w:szCs w:val="21"/>
                <w:highlight w:val="none"/>
              </w:rPr>
              <w:t>；</w:t>
            </w:r>
          </w:p>
          <w:p w14:paraId="3A72B134">
            <w:pPr>
              <w:snapToGrid w:val="0"/>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3.热爱体育教育事业，具有较强的教学组织和研究能力，在完成好体育课教学任务的同时能参与群体竞赛的组织与辅导工作或体育代表队训练工作。</w:t>
            </w:r>
          </w:p>
        </w:tc>
      </w:tr>
      <w:tr w14:paraId="754A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1A64D164">
            <w:pPr>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72230FD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管理工程系</w:t>
            </w:r>
          </w:p>
        </w:tc>
        <w:tc>
          <w:tcPr>
            <w:tcW w:w="1826" w:type="dxa"/>
            <w:vAlign w:val="center"/>
          </w:tcPr>
          <w:p w14:paraId="2B50CC01">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会计</w:t>
            </w:r>
          </w:p>
          <w:p w14:paraId="45C8B325">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7B941C5D">
            <w:pPr>
              <w:widowControl/>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1</w:t>
            </w:r>
          </w:p>
        </w:tc>
        <w:tc>
          <w:tcPr>
            <w:tcW w:w="645" w:type="dxa"/>
            <w:vAlign w:val="center"/>
          </w:tcPr>
          <w:p w14:paraId="3D855776">
            <w:pPr>
              <w:widowControl/>
              <w:jc w:val="center"/>
              <w:rPr>
                <w:rFonts w:cs="仿宋" w:asciiTheme="majorEastAsia" w:hAnsiTheme="majorEastAsia" w:eastAsiaTheme="majorEastAsia"/>
                <w:color w:val="000000"/>
                <w:szCs w:val="21"/>
              </w:rPr>
            </w:pPr>
          </w:p>
        </w:tc>
        <w:tc>
          <w:tcPr>
            <w:tcW w:w="645" w:type="dxa"/>
            <w:vAlign w:val="center"/>
          </w:tcPr>
          <w:p w14:paraId="4464140F">
            <w:pPr>
              <w:widowControl/>
              <w:jc w:val="center"/>
              <w:rPr>
                <w:rFonts w:cs="仿宋" w:asciiTheme="majorEastAsia" w:hAnsiTheme="majorEastAsia" w:eastAsiaTheme="majorEastAsia"/>
                <w:color w:val="000000"/>
                <w:szCs w:val="21"/>
              </w:rPr>
            </w:pPr>
          </w:p>
        </w:tc>
        <w:tc>
          <w:tcPr>
            <w:tcW w:w="750" w:type="dxa"/>
            <w:vAlign w:val="center"/>
          </w:tcPr>
          <w:p w14:paraId="4EDE3F78">
            <w:pPr>
              <w:snapToGrid w:val="0"/>
              <w:spacing w:line="240" w:lineRule="atLeast"/>
              <w:ind w:left="210" w:leftChars="100" w:firstLine="0" w:firstLineChars="0"/>
              <w:rPr>
                <w:rFonts w:hint="eastAsia" w:cs="仿宋" w:asciiTheme="majorEastAsia" w:hAnsiTheme="majorEastAsia" w:eastAsiaTheme="majorEastAsia"/>
                <w:szCs w:val="21"/>
                <w:lang w:val="en-US" w:eastAsia="zh-CN"/>
              </w:rPr>
            </w:pPr>
            <w:r>
              <w:rPr>
                <w:rFonts w:hint="eastAsia" w:cs="仿宋" w:asciiTheme="majorEastAsia" w:hAnsiTheme="majorEastAsia" w:eastAsiaTheme="majorEastAsia"/>
                <w:szCs w:val="21"/>
                <w:lang w:val="en-US" w:eastAsia="zh-CN"/>
              </w:rPr>
              <w:t>1</w:t>
            </w:r>
          </w:p>
        </w:tc>
        <w:tc>
          <w:tcPr>
            <w:tcW w:w="8578" w:type="dxa"/>
            <w:vAlign w:val="center"/>
          </w:tcPr>
          <w:p w14:paraId="226618F9">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1.30周岁以下全日制硕士研究生，有3年及以上相关工作经验者年龄可放宽至35周岁；</w:t>
            </w:r>
          </w:p>
          <w:p w14:paraId="0CDB4C95">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2.专业为会计、财务管理、审计。</w:t>
            </w:r>
          </w:p>
        </w:tc>
      </w:tr>
      <w:tr w14:paraId="2030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29796016">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640C979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管理工程系</w:t>
            </w:r>
          </w:p>
        </w:tc>
        <w:tc>
          <w:tcPr>
            <w:tcW w:w="1826" w:type="dxa"/>
            <w:vAlign w:val="center"/>
          </w:tcPr>
          <w:p w14:paraId="6745D50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电子商务</w:t>
            </w:r>
          </w:p>
          <w:p w14:paraId="6C1014CC">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6B43DCC7">
            <w:pPr>
              <w:widowControl/>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1</w:t>
            </w:r>
          </w:p>
        </w:tc>
        <w:tc>
          <w:tcPr>
            <w:tcW w:w="645" w:type="dxa"/>
            <w:vAlign w:val="center"/>
          </w:tcPr>
          <w:p w14:paraId="282483CC">
            <w:pPr>
              <w:widowControl/>
              <w:jc w:val="center"/>
              <w:rPr>
                <w:rFonts w:cs="仿宋" w:asciiTheme="majorEastAsia" w:hAnsiTheme="majorEastAsia" w:eastAsiaTheme="majorEastAsia"/>
                <w:color w:val="000000"/>
                <w:szCs w:val="21"/>
              </w:rPr>
            </w:pPr>
          </w:p>
        </w:tc>
        <w:tc>
          <w:tcPr>
            <w:tcW w:w="645" w:type="dxa"/>
            <w:vAlign w:val="center"/>
          </w:tcPr>
          <w:p w14:paraId="50E07684">
            <w:pPr>
              <w:widowControl/>
              <w:jc w:val="center"/>
              <w:rPr>
                <w:rFonts w:cs="仿宋" w:asciiTheme="majorEastAsia" w:hAnsiTheme="majorEastAsia" w:eastAsiaTheme="majorEastAsia"/>
                <w:color w:val="000000"/>
                <w:szCs w:val="21"/>
              </w:rPr>
            </w:pPr>
          </w:p>
        </w:tc>
        <w:tc>
          <w:tcPr>
            <w:tcW w:w="750" w:type="dxa"/>
            <w:vAlign w:val="center"/>
          </w:tcPr>
          <w:p w14:paraId="5CD28EAE">
            <w:pPr>
              <w:widowControl/>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1</w:t>
            </w:r>
          </w:p>
        </w:tc>
        <w:tc>
          <w:tcPr>
            <w:tcW w:w="8578" w:type="dxa"/>
            <w:vAlign w:val="center"/>
          </w:tcPr>
          <w:p w14:paraId="486EB664">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1.30周岁以下全日制硕士研究生，取得省级以上主管部门举办的电商、营销专业赛事一等奖及以上等次者学位放宽至全日制本科（学士）或年龄放宽至35周岁；</w:t>
            </w:r>
          </w:p>
          <w:p w14:paraId="17E031F4">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2.电子商务、市场营销专业；</w:t>
            </w:r>
          </w:p>
          <w:p w14:paraId="6EF801EB">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3.优秀电商主播、电商运营人员、网店视觉营销设计人员或市级以上技术能手优先。</w:t>
            </w:r>
          </w:p>
        </w:tc>
      </w:tr>
      <w:tr w14:paraId="7F66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091FC262">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3384C61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信息工程系</w:t>
            </w:r>
          </w:p>
        </w:tc>
        <w:tc>
          <w:tcPr>
            <w:tcW w:w="1826" w:type="dxa"/>
            <w:vAlign w:val="center"/>
          </w:tcPr>
          <w:p w14:paraId="710A4AE3">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计算机</w:t>
            </w:r>
          </w:p>
          <w:p w14:paraId="1DDDA654">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6719275B">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645" w:type="dxa"/>
            <w:vAlign w:val="center"/>
          </w:tcPr>
          <w:p w14:paraId="3C76016C">
            <w:pPr>
              <w:snapToGrid w:val="0"/>
              <w:jc w:val="center"/>
              <w:rPr>
                <w:rFonts w:cs="仿宋" w:asciiTheme="majorEastAsia" w:hAnsiTheme="majorEastAsia" w:eastAsiaTheme="majorEastAsia"/>
                <w:color w:val="000000"/>
                <w:szCs w:val="21"/>
              </w:rPr>
            </w:pPr>
          </w:p>
        </w:tc>
        <w:tc>
          <w:tcPr>
            <w:tcW w:w="645" w:type="dxa"/>
            <w:vAlign w:val="center"/>
          </w:tcPr>
          <w:p w14:paraId="4C8F9C8B">
            <w:pPr>
              <w:snapToGrid w:val="0"/>
              <w:jc w:val="center"/>
              <w:rPr>
                <w:rFonts w:cs="仿宋" w:asciiTheme="majorEastAsia" w:hAnsiTheme="majorEastAsia" w:eastAsiaTheme="majorEastAsia"/>
                <w:color w:val="000000"/>
                <w:szCs w:val="21"/>
              </w:rPr>
            </w:pPr>
          </w:p>
        </w:tc>
        <w:tc>
          <w:tcPr>
            <w:tcW w:w="750" w:type="dxa"/>
            <w:vAlign w:val="center"/>
          </w:tcPr>
          <w:p w14:paraId="484B65FA">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8578" w:type="dxa"/>
            <w:vAlign w:val="center"/>
          </w:tcPr>
          <w:p w14:paraId="1D62AB3F">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1.年龄在30周岁以下全日制硕士研究生，双一流高校毕业可放宽至全日制本科（学士）；</w:t>
            </w:r>
          </w:p>
          <w:p w14:paraId="5CF1A298">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2.计算机相关专业。</w:t>
            </w:r>
          </w:p>
        </w:tc>
      </w:tr>
      <w:tr w14:paraId="14DF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0E826B3F">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41780FC2">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机电工程学院</w:t>
            </w:r>
          </w:p>
        </w:tc>
        <w:tc>
          <w:tcPr>
            <w:tcW w:w="1826" w:type="dxa"/>
            <w:vAlign w:val="center"/>
          </w:tcPr>
          <w:p w14:paraId="0803F696">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电子信息</w:t>
            </w:r>
          </w:p>
          <w:p w14:paraId="4FFAA90D">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24A09E42">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645" w:type="dxa"/>
            <w:vAlign w:val="center"/>
          </w:tcPr>
          <w:p w14:paraId="1C3E49EC">
            <w:pPr>
              <w:snapToGrid w:val="0"/>
              <w:jc w:val="center"/>
              <w:rPr>
                <w:rFonts w:cs="仿宋" w:asciiTheme="majorEastAsia" w:hAnsiTheme="majorEastAsia" w:eastAsiaTheme="majorEastAsia"/>
                <w:color w:val="000000"/>
                <w:szCs w:val="21"/>
              </w:rPr>
            </w:pPr>
          </w:p>
        </w:tc>
        <w:tc>
          <w:tcPr>
            <w:tcW w:w="645" w:type="dxa"/>
            <w:vAlign w:val="center"/>
          </w:tcPr>
          <w:p w14:paraId="153A7E31">
            <w:pPr>
              <w:snapToGrid w:val="0"/>
              <w:jc w:val="center"/>
              <w:rPr>
                <w:rFonts w:cs="仿宋" w:asciiTheme="majorEastAsia" w:hAnsiTheme="majorEastAsia" w:eastAsiaTheme="majorEastAsia"/>
                <w:color w:val="000000"/>
                <w:szCs w:val="21"/>
              </w:rPr>
            </w:pPr>
          </w:p>
        </w:tc>
        <w:tc>
          <w:tcPr>
            <w:tcW w:w="750" w:type="dxa"/>
            <w:vAlign w:val="center"/>
          </w:tcPr>
          <w:p w14:paraId="3E6CB9E2">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8578" w:type="dxa"/>
            <w:vAlign w:val="center"/>
          </w:tcPr>
          <w:p w14:paraId="27233261">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1.30周岁以下全日制应届硕士研究生；</w:t>
            </w:r>
          </w:p>
          <w:p w14:paraId="28394167">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2.本科电子信息专业、集成电路专业、通信工程专业，研究生电子信息技术、控制科学方向。</w:t>
            </w:r>
          </w:p>
        </w:tc>
      </w:tr>
      <w:tr w14:paraId="173F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23C994A7">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2FFDA6DE">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机电工程学院</w:t>
            </w:r>
          </w:p>
        </w:tc>
        <w:tc>
          <w:tcPr>
            <w:tcW w:w="1826" w:type="dxa"/>
            <w:vAlign w:val="center"/>
          </w:tcPr>
          <w:p w14:paraId="5D204BFA">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电气控制</w:t>
            </w:r>
          </w:p>
          <w:p w14:paraId="333CFFDE">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0202888B">
            <w:pPr>
              <w:snapToGrid w:val="0"/>
              <w:jc w:val="center"/>
              <w:rPr>
                <w:rFonts w:cs="仿宋" w:asciiTheme="majorEastAsia" w:hAnsiTheme="majorEastAsia" w:eastAsiaTheme="majorEastAsia"/>
                <w:sz w:val="24"/>
              </w:rPr>
            </w:pPr>
            <w:r>
              <w:rPr>
                <w:rFonts w:hint="eastAsia" w:cs="仿宋" w:asciiTheme="majorEastAsia" w:hAnsiTheme="majorEastAsia" w:eastAsiaTheme="majorEastAsia"/>
                <w:sz w:val="24"/>
              </w:rPr>
              <w:t>1</w:t>
            </w:r>
          </w:p>
        </w:tc>
        <w:tc>
          <w:tcPr>
            <w:tcW w:w="645" w:type="dxa"/>
            <w:vAlign w:val="center"/>
          </w:tcPr>
          <w:p w14:paraId="51A2DAD3">
            <w:pPr>
              <w:snapToGrid w:val="0"/>
              <w:jc w:val="center"/>
              <w:rPr>
                <w:rFonts w:cs="仿宋" w:asciiTheme="majorEastAsia" w:hAnsiTheme="majorEastAsia" w:eastAsiaTheme="majorEastAsia"/>
                <w:color w:val="000000"/>
                <w:szCs w:val="21"/>
              </w:rPr>
            </w:pPr>
          </w:p>
        </w:tc>
        <w:tc>
          <w:tcPr>
            <w:tcW w:w="645" w:type="dxa"/>
            <w:vAlign w:val="center"/>
          </w:tcPr>
          <w:p w14:paraId="4A8A9375">
            <w:pPr>
              <w:snapToGrid w:val="0"/>
              <w:jc w:val="center"/>
              <w:rPr>
                <w:rFonts w:cs="仿宋" w:asciiTheme="majorEastAsia" w:hAnsiTheme="majorEastAsia" w:eastAsiaTheme="majorEastAsia"/>
                <w:color w:val="000000"/>
                <w:szCs w:val="21"/>
              </w:rPr>
            </w:pPr>
          </w:p>
        </w:tc>
        <w:tc>
          <w:tcPr>
            <w:tcW w:w="750" w:type="dxa"/>
            <w:vAlign w:val="center"/>
          </w:tcPr>
          <w:p w14:paraId="0029F9A7">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8578" w:type="dxa"/>
            <w:vAlign w:val="center"/>
          </w:tcPr>
          <w:p w14:paraId="5D58216A">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1.30周岁以下全日制应届硕士研究生，具有国家颁发的电工技师职业技能等级证书者学位放宽至全日制本科（学士）或年龄放宽至35周岁；</w:t>
            </w:r>
          </w:p>
          <w:p w14:paraId="763FC157">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2.本科专业为电气工程及自动化专业，研究生控制工程或机械电子工程方向。</w:t>
            </w:r>
          </w:p>
        </w:tc>
      </w:tr>
      <w:tr w14:paraId="220B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5B6C4F83">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400C6034">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机电工程学院</w:t>
            </w:r>
          </w:p>
        </w:tc>
        <w:tc>
          <w:tcPr>
            <w:tcW w:w="1826" w:type="dxa"/>
            <w:vAlign w:val="center"/>
          </w:tcPr>
          <w:p w14:paraId="4F712A41">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机械</w:t>
            </w:r>
          </w:p>
          <w:p w14:paraId="5D85D0D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1B9D775B">
            <w:pPr>
              <w:snapToGrid w:val="0"/>
              <w:jc w:val="center"/>
              <w:rPr>
                <w:rFonts w:cs="仿宋" w:asciiTheme="majorEastAsia" w:hAnsiTheme="majorEastAsia" w:eastAsiaTheme="majorEastAsia"/>
                <w:sz w:val="24"/>
              </w:rPr>
            </w:pPr>
            <w:r>
              <w:rPr>
                <w:rFonts w:hint="eastAsia" w:cs="仿宋" w:asciiTheme="majorEastAsia" w:hAnsiTheme="majorEastAsia" w:eastAsiaTheme="majorEastAsia"/>
                <w:sz w:val="24"/>
              </w:rPr>
              <w:t>1</w:t>
            </w:r>
          </w:p>
        </w:tc>
        <w:tc>
          <w:tcPr>
            <w:tcW w:w="645" w:type="dxa"/>
            <w:vAlign w:val="center"/>
          </w:tcPr>
          <w:p w14:paraId="12D8BE81">
            <w:pPr>
              <w:snapToGrid w:val="0"/>
              <w:jc w:val="center"/>
              <w:rPr>
                <w:rFonts w:cs="仿宋" w:asciiTheme="majorEastAsia" w:hAnsiTheme="majorEastAsia" w:eastAsiaTheme="majorEastAsia"/>
                <w:color w:val="000000"/>
                <w:szCs w:val="21"/>
              </w:rPr>
            </w:pPr>
          </w:p>
        </w:tc>
        <w:tc>
          <w:tcPr>
            <w:tcW w:w="645" w:type="dxa"/>
            <w:vAlign w:val="center"/>
          </w:tcPr>
          <w:p w14:paraId="1BC00FD7">
            <w:pPr>
              <w:snapToGrid w:val="0"/>
              <w:jc w:val="center"/>
              <w:rPr>
                <w:rFonts w:cs="仿宋" w:asciiTheme="majorEastAsia" w:hAnsiTheme="majorEastAsia" w:eastAsiaTheme="majorEastAsia"/>
                <w:color w:val="000000"/>
                <w:szCs w:val="21"/>
              </w:rPr>
            </w:pPr>
          </w:p>
        </w:tc>
        <w:tc>
          <w:tcPr>
            <w:tcW w:w="750" w:type="dxa"/>
            <w:vAlign w:val="center"/>
          </w:tcPr>
          <w:p w14:paraId="21A5B750">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8578" w:type="dxa"/>
            <w:vAlign w:val="center"/>
          </w:tcPr>
          <w:p w14:paraId="326928F8">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1.30周岁以下全日制硕士研究生；</w:t>
            </w:r>
          </w:p>
          <w:p w14:paraId="673083E8">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2.本科为机械工程、机械设计制造及自动化专业，研究生为机械设计、制造方向。</w:t>
            </w:r>
          </w:p>
        </w:tc>
      </w:tr>
      <w:tr w14:paraId="5FE0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50D8EFCA">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62862878">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机电工程学院</w:t>
            </w:r>
          </w:p>
        </w:tc>
        <w:tc>
          <w:tcPr>
            <w:tcW w:w="1826" w:type="dxa"/>
            <w:vAlign w:val="center"/>
          </w:tcPr>
          <w:p w14:paraId="2009ECD2">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汽车（实训）</w:t>
            </w:r>
          </w:p>
          <w:p w14:paraId="1BCD61B0">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55F46866">
            <w:pPr>
              <w:snapToGrid w:val="0"/>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1</w:t>
            </w:r>
          </w:p>
        </w:tc>
        <w:tc>
          <w:tcPr>
            <w:tcW w:w="645" w:type="dxa"/>
            <w:vAlign w:val="center"/>
          </w:tcPr>
          <w:p w14:paraId="1E37C853">
            <w:pPr>
              <w:snapToGrid w:val="0"/>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1</w:t>
            </w:r>
          </w:p>
        </w:tc>
        <w:tc>
          <w:tcPr>
            <w:tcW w:w="645" w:type="dxa"/>
            <w:vAlign w:val="center"/>
          </w:tcPr>
          <w:p w14:paraId="334B8D15">
            <w:pPr>
              <w:snapToGrid w:val="0"/>
              <w:jc w:val="center"/>
              <w:rPr>
                <w:rFonts w:hint="default" w:cs="仿宋" w:asciiTheme="majorEastAsia" w:hAnsiTheme="majorEastAsia" w:eastAsiaTheme="majorEastAsia"/>
                <w:color w:val="000000"/>
                <w:szCs w:val="21"/>
                <w:lang w:val="en-US" w:eastAsia="zh-CN"/>
              </w:rPr>
            </w:pPr>
          </w:p>
        </w:tc>
        <w:tc>
          <w:tcPr>
            <w:tcW w:w="750" w:type="dxa"/>
            <w:vAlign w:val="center"/>
          </w:tcPr>
          <w:p w14:paraId="66DAF3DD">
            <w:pPr>
              <w:snapToGrid w:val="0"/>
              <w:jc w:val="center"/>
              <w:rPr>
                <w:rFonts w:cs="仿宋" w:asciiTheme="majorEastAsia" w:hAnsiTheme="majorEastAsia" w:eastAsiaTheme="majorEastAsia"/>
                <w:color w:val="000000"/>
                <w:szCs w:val="21"/>
              </w:rPr>
            </w:pPr>
          </w:p>
        </w:tc>
        <w:tc>
          <w:tcPr>
            <w:tcW w:w="8578" w:type="dxa"/>
          </w:tcPr>
          <w:p w14:paraId="3129C8F6">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1.30周岁以下全日制大专及以上学历；</w:t>
            </w:r>
          </w:p>
          <w:p w14:paraId="41A4D3A2">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2.汽车检测与维修专业；</w:t>
            </w:r>
          </w:p>
          <w:p w14:paraId="3BD4F52D">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3.有3年以上中高端车型维修经验并通过厂家机电技师等级官方认证；</w:t>
            </w:r>
          </w:p>
          <w:p w14:paraId="0AD1B353">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4.具备技师及以上职业技能等级证书及低压电工证（有效期内）。</w:t>
            </w:r>
          </w:p>
        </w:tc>
      </w:tr>
      <w:tr w14:paraId="7EC7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4FE066B4">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教师岗位</w:t>
            </w:r>
          </w:p>
        </w:tc>
        <w:tc>
          <w:tcPr>
            <w:tcW w:w="1738" w:type="dxa"/>
            <w:vAlign w:val="center"/>
          </w:tcPr>
          <w:p w14:paraId="50202EAB">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资源开发系</w:t>
            </w:r>
          </w:p>
        </w:tc>
        <w:tc>
          <w:tcPr>
            <w:tcW w:w="1826" w:type="dxa"/>
            <w:vAlign w:val="center"/>
          </w:tcPr>
          <w:p w14:paraId="6A9B721B">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工程测量技术（高水平专业群专业）</w:t>
            </w:r>
          </w:p>
          <w:p w14:paraId="0C27518D">
            <w:pPr>
              <w:snapToGrid w:val="0"/>
              <w:jc w:val="center"/>
              <w:rPr>
                <w:rFonts w:hint="eastAsia"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专业教师</w:t>
            </w:r>
          </w:p>
        </w:tc>
        <w:tc>
          <w:tcPr>
            <w:tcW w:w="765" w:type="dxa"/>
            <w:vAlign w:val="center"/>
          </w:tcPr>
          <w:p w14:paraId="11557D0B">
            <w:pPr>
              <w:snapToGrid w:val="0"/>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1</w:t>
            </w:r>
          </w:p>
        </w:tc>
        <w:tc>
          <w:tcPr>
            <w:tcW w:w="645" w:type="dxa"/>
            <w:vAlign w:val="center"/>
          </w:tcPr>
          <w:p w14:paraId="0B4C2286">
            <w:pPr>
              <w:snapToGrid w:val="0"/>
              <w:jc w:val="center"/>
              <w:rPr>
                <w:rFonts w:cs="仿宋" w:asciiTheme="majorEastAsia" w:hAnsiTheme="majorEastAsia" w:eastAsiaTheme="majorEastAsia"/>
                <w:color w:val="000000"/>
                <w:szCs w:val="21"/>
              </w:rPr>
            </w:pPr>
          </w:p>
        </w:tc>
        <w:tc>
          <w:tcPr>
            <w:tcW w:w="645" w:type="dxa"/>
            <w:vAlign w:val="center"/>
          </w:tcPr>
          <w:p w14:paraId="10D011A3">
            <w:pPr>
              <w:snapToGrid w:val="0"/>
              <w:jc w:val="center"/>
              <w:rPr>
                <w:rFonts w:cs="仿宋" w:asciiTheme="majorEastAsia" w:hAnsiTheme="majorEastAsia" w:eastAsiaTheme="majorEastAsia"/>
                <w:color w:val="000000"/>
                <w:szCs w:val="21"/>
              </w:rPr>
            </w:pPr>
          </w:p>
        </w:tc>
        <w:tc>
          <w:tcPr>
            <w:tcW w:w="750" w:type="dxa"/>
            <w:vAlign w:val="center"/>
          </w:tcPr>
          <w:p w14:paraId="21EBEA67">
            <w:pPr>
              <w:snapToGrid w:val="0"/>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1</w:t>
            </w:r>
          </w:p>
        </w:tc>
        <w:tc>
          <w:tcPr>
            <w:tcW w:w="8578" w:type="dxa"/>
          </w:tcPr>
          <w:p w14:paraId="751BB11C">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1.30周岁以下全日制硕士研究生，具有3年以上相关工程工作经验者学位放宽至全日制本科（学士）或年龄放宽至35周岁；</w:t>
            </w:r>
          </w:p>
          <w:p w14:paraId="00CE4ADD">
            <w:pPr>
              <w:adjustRightInd w:val="0"/>
              <w:snapToGrid w:val="0"/>
              <w:spacing w:line="240" w:lineRule="atLeast"/>
              <w:rPr>
                <w:rFonts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2.本科测绘工程专业，研究生大地测量学与测量工程、地图制图学与地理信息工程、摄影测量与遥感。</w:t>
            </w:r>
          </w:p>
        </w:tc>
      </w:tr>
      <w:tr w14:paraId="0EDB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14:paraId="58EF799D">
            <w:pPr>
              <w:snapToGrid w:val="0"/>
              <w:jc w:val="center"/>
              <w:rPr>
                <w:rFonts w:hint="default"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辅导员岗</w:t>
            </w:r>
          </w:p>
        </w:tc>
        <w:tc>
          <w:tcPr>
            <w:tcW w:w="1738" w:type="dxa"/>
            <w:vAlign w:val="center"/>
          </w:tcPr>
          <w:p w14:paraId="23FC2BDC">
            <w:pPr>
              <w:snapToGrid w:val="0"/>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学生处</w:t>
            </w:r>
          </w:p>
        </w:tc>
        <w:tc>
          <w:tcPr>
            <w:tcW w:w="1826" w:type="dxa"/>
            <w:vAlign w:val="center"/>
          </w:tcPr>
          <w:p w14:paraId="21EA4644">
            <w:pPr>
              <w:snapToGrid w:val="0"/>
              <w:jc w:val="center"/>
              <w:rPr>
                <w:rFonts w:hint="default"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专职辅导员</w:t>
            </w:r>
          </w:p>
        </w:tc>
        <w:tc>
          <w:tcPr>
            <w:tcW w:w="765" w:type="dxa"/>
            <w:vAlign w:val="center"/>
          </w:tcPr>
          <w:p w14:paraId="254BCF98">
            <w:pPr>
              <w:snapToGrid w:val="0"/>
              <w:jc w:val="center"/>
              <w:rPr>
                <w:rFonts w:hint="default"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3</w:t>
            </w:r>
          </w:p>
        </w:tc>
        <w:tc>
          <w:tcPr>
            <w:tcW w:w="645" w:type="dxa"/>
            <w:vAlign w:val="center"/>
          </w:tcPr>
          <w:p w14:paraId="0223C569">
            <w:pPr>
              <w:snapToGrid w:val="0"/>
              <w:jc w:val="center"/>
              <w:rPr>
                <w:rFonts w:hint="eastAsia" w:cs="仿宋" w:asciiTheme="majorEastAsia" w:hAnsiTheme="majorEastAsia" w:eastAsiaTheme="majorEastAsia"/>
                <w:color w:val="000000"/>
                <w:szCs w:val="21"/>
              </w:rPr>
            </w:pPr>
          </w:p>
        </w:tc>
        <w:tc>
          <w:tcPr>
            <w:tcW w:w="645" w:type="dxa"/>
            <w:vAlign w:val="center"/>
          </w:tcPr>
          <w:p w14:paraId="53B5B3A2">
            <w:pPr>
              <w:snapToGrid w:val="0"/>
              <w:jc w:val="center"/>
              <w:rPr>
                <w:rFonts w:hint="eastAsia" w:cs="仿宋" w:asciiTheme="majorEastAsia" w:hAnsiTheme="majorEastAsia" w:eastAsiaTheme="majorEastAsia"/>
                <w:color w:val="000000"/>
                <w:szCs w:val="21"/>
              </w:rPr>
            </w:pPr>
          </w:p>
        </w:tc>
        <w:tc>
          <w:tcPr>
            <w:tcW w:w="750" w:type="dxa"/>
            <w:vAlign w:val="center"/>
          </w:tcPr>
          <w:p w14:paraId="76E9C7B5">
            <w:pPr>
              <w:snapToGrid w:val="0"/>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lang w:val="en-US" w:eastAsia="zh-CN"/>
              </w:rPr>
              <w:t>3</w:t>
            </w:r>
          </w:p>
        </w:tc>
        <w:tc>
          <w:tcPr>
            <w:tcW w:w="8578" w:type="dxa"/>
          </w:tcPr>
          <w:p w14:paraId="746ED3D8">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1.30周岁以下全日制硕士研究生，中共党员（含预备党员）；有3年及以上高校辅导员工作经验者年龄可以放宽至35周岁；</w:t>
            </w:r>
          </w:p>
          <w:p w14:paraId="6B6F39B5">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2.具有机电、计算机</w:t>
            </w:r>
            <w:r>
              <w:rPr>
                <w:rFonts w:hint="eastAsia" w:asciiTheme="minorEastAsia" w:hAnsiTheme="minorEastAsia" w:eastAsiaTheme="minorEastAsia" w:cstheme="minorEastAsia"/>
                <w:sz w:val="21"/>
                <w:szCs w:val="21"/>
                <w:highlight w:val="none"/>
                <w:lang w:eastAsia="zh-CN"/>
              </w:rPr>
              <w:t>等相关理工类</w:t>
            </w:r>
            <w:r>
              <w:rPr>
                <w:rFonts w:hint="eastAsia" w:asciiTheme="minorEastAsia" w:hAnsiTheme="minorEastAsia" w:eastAsiaTheme="minorEastAsia" w:cstheme="minorEastAsia"/>
                <w:sz w:val="21"/>
                <w:szCs w:val="21"/>
                <w:highlight w:val="none"/>
              </w:rPr>
              <w:t>专业背景；</w:t>
            </w:r>
          </w:p>
          <w:p w14:paraId="17042BD0">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3.因工作要求需到学生宿舍查寝值班，</w:t>
            </w:r>
            <w:r>
              <w:rPr>
                <w:rFonts w:hint="eastAsia" w:asciiTheme="minorEastAsia" w:hAnsiTheme="minorEastAsia" w:eastAsiaTheme="minorEastAsia" w:cstheme="minorEastAsia"/>
                <w:sz w:val="21"/>
                <w:szCs w:val="21"/>
                <w:highlight w:val="none"/>
                <w:lang w:eastAsia="zh-CN"/>
              </w:rPr>
              <w:t>不少于两名</w:t>
            </w:r>
            <w:r>
              <w:rPr>
                <w:rFonts w:hint="eastAsia" w:asciiTheme="minorEastAsia" w:hAnsiTheme="minorEastAsia" w:eastAsiaTheme="minorEastAsia" w:cstheme="minorEastAsia"/>
                <w:sz w:val="21"/>
                <w:szCs w:val="21"/>
                <w:highlight w:val="none"/>
              </w:rPr>
              <w:t>男性；</w:t>
            </w:r>
          </w:p>
          <w:p w14:paraId="71F9DC72">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4.具有较高的政治素质和坚定的理想信念，坚决贯彻执行党的基本路线和各项方针政策，有较强的政治敏感性和政治辨别力；</w:t>
            </w:r>
          </w:p>
          <w:p w14:paraId="7A89F5AF">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5.热爱大学生思想政治教育事业，甘于奉献，潜心育人，具有强烈的事业心和责任感；</w:t>
            </w:r>
          </w:p>
          <w:p w14:paraId="7F56037C">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6.掌握从事思想政治教育工作相关学科的基本原理和基础知识，掌握大学生思想政治教育工作实务相关知识，掌握有关法律法规知识;</w:t>
            </w:r>
          </w:p>
          <w:p w14:paraId="4C82D6C0">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7.具备较强的组织管理能力和语言、文字表达能力，及教育引导能力、调查研究能力，具备开展思想理论教育和价值引领工作的能力；</w:t>
            </w:r>
          </w:p>
          <w:p w14:paraId="23561822">
            <w:pPr>
              <w:adjustRightInd w:val="0"/>
              <w:snapToGrid w:val="0"/>
              <w:spacing w:line="240" w:lineRule="atLeas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8.具有较强的纪律观念和规矩意识，遵纪守法，为人正直，作风正派，廉洁自律；</w:t>
            </w:r>
          </w:p>
          <w:p w14:paraId="6B6381F6">
            <w:pPr>
              <w:adjustRightInd w:val="0"/>
              <w:snapToGrid w:val="0"/>
              <w:spacing w:line="240" w:lineRule="atLeast"/>
              <w:rPr>
                <w:rFonts w:hint="eastAsia" w:cs="仿宋" w:asciiTheme="majorEastAsia" w:hAnsiTheme="majorEastAsia" w:eastAsiaTheme="majorEastAsia"/>
                <w:szCs w:val="21"/>
              </w:rPr>
            </w:pPr>
            <w:r>
              <w:rPr>
                <w:rFonts w:hint="eastAsia" w:asciiTheme="minorEastAsia" w:hAnsiTheme="minorEastAsia" w:eastAsiaTheme="minorEastAsia" w:cstheme="minorEastAsia"/>
                <w:sz w:val="21"/>
                <w:szCs w:val="21"/>
                <w:highlight w:val="none"/>
              </w:rPr>
              <w:t>9.在校期间有学生干部经历者优先考虑</w:t>
            </w:r>
          </w:p>
        </w:tc>
      </w:tr>
      <w:tr w14:paraId="0705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7" w:type="dxa"/>
            <w:gridSpan w:val="2"/>
            <w:vAlign w:val="center"/>
          </w:tcPr>
          <w:p w14:paraId="192A8990">
            <w:pPr>
              <w:snapToGrid w:val="0"/>
              <w:spacing w:line="340" w:lineRule="exact"/>
              <w:jc w:val="center"/>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合计</w:t>
            </w:r>
          </w:p>
        </w:tc>
        <w:tc>
          <w:tcPr>
            <w:tcW w:w="1826" w:type="dxa"/>
            <w:vAlign w:val="center"/>
          </w:tcPr>
          <w:p w14:paraId="7C7B17CD">
            <w:pPr>
              <w:snapToGrid w:val="0"/>
              <w:spacing w:line="340" w:lineRule="exact"/>
              <w:jc w:val="center"/>
              <w:rPr>
                <w:rFonts w:cs="仿宋" w:asciiTheme="majorEastAsia" w:hAnsiTheme="majorEastAsia" w:eastAsiaTheme="majorEastAsia"/>
                <w:color w:val="000000"/>
                <w:szCs w:val="21"/>
              </w:rPr>
            </w:pPr>
          </w:p>
        </w:tc>
        <w:tc>
          <w:tcPr>
            <w:tcW w:w="765" w:type="dxa"/>
            <w:vAlign w:val="center"/>
          </w:tcPr>
          <w:p w14:paraId="36F5F9C3">
            <w:pPr>
              <w:snapToGrid w:val="0"/>
              <w:spacing w:line="340" w:lineRule="exact"/>
              <w:jc w:val="center"/>
              <w:rPr>
                <w:rFonts w:hint="eastAsia" w:cs="仿宋" w:asciiTheme="majorEastAsia" w:hAnsiTheme="majorEastAsia" w:eastAsiaTheme="majorEastAsia"/>
                <w:color w:val="000000"/>
                <w:szCs w:val="21"/>
                <w:lang w:val="en-US" w:eastAsia="zh-CN"/>
              </w:rPr>
            </w:pPr>
            <w:r>
              <w:rPr>
                <w:rFonts w:hint="eastAsia" w:cs="仿宋" w:asciiTheme="majorEastAsia" w:hAnsiTheme="majorEastAsia" w:eastAsiaTheme="majorEastAsia"/>
                <w:color w:val="000000"/>
                <w:szCs w:val="21"/>
              </w:rPr>
              <w:t>1</w:t>
            </w:r>
            <w:r>
              <w:rPr>
                <w:rFonts w:hint="eastAsia" w:cs="仿宋" w:asciiTheme="majorEastAsia" w:hAnsiTheme="majorEastAsia" w:eastAsiaTheme="majorEastAsia"/>
                <w:color w:val="000000"/>
                <w:szCs w:val="21"/>
                <w:lang w:val="en-US" w:eastAsia="zh-CN"/>
              </w:rPr>
              <w:t>2</w:t>
            </w:r>
          </w:p>
        </w:tc>
        <w:tc>
          <w:tcPr>
            <w:tcW w:w="645" w:type="dxa"/>
            <w:vAlign w:val="center"/>
          </w:tcPr>
          <w:p w14:paraId="6D110F88">
            <w:pPr>
              <w:snapToGrid w:val="0"/>
              <w:spacing w:line="340" w:lineRule="exact"/>
              <w:jc w:val="center"/>
              <w:rPr>
                <w:rFonts w:hint="eastAsia" w:cs="仿宋" w:asciiTheme="majorEastAsia" w:hAnsiTheme="majorEastAsia" w:eastAsiaTheme="majorEastAsia"/>
                <w:color w:val="000000"/>
                <w:szCs w:val="21"/>
              </w:rPr>
            </w:pPr>
          </w:p>
        </w:tc>
        <w:tc>
          <w:tcPr>
            <w:tcW w:w="645" w:type="dxa"/>
            <w:vAlign w:val="center"/>
          </w:tcPr>
          <w:p w14:paraId="1B9555F2">
            <w:pPr>
              <w:snapToGrid w:val="0"/>
              <w:spacing w:line="340" w:lineRule="exact"/>
              <w:jc w:val="center"/>
              <w:rPr>
                <w:rFonts w:cs="仿宋" w:asciiTheme="majorEastAsia" w:hAnsiTheme="majorEastAsia" w:eastAsiaTheme="majorEastAsia"/>
                <w:color w:val="000000"/>
                <w:szCs w:val="21"/>
              </w:rPr>
            </w:pPr>
          </w:p>
        </w:tc>
        <w:tc>
          <w:tcPr>
            <w:tcW w:w="750" w:type="dxa"/>
            <w:vAlign w:val="center"/>
          </w:tcPr>
          <w:p w14:paraId="1874BA67">
            <w:pPr>
              <w:snapToGrid w:val="0"/>
              <w:spacing w:line="340" w:lineRule="exact"/>
              <w:jc w:val="center"/>
              <w:rPr>
                <w:rFonts w:cs="仿宋" w:asciiTheme="majorEastAsia" w:hAnsiTheme="majorEastAsia" w:eastAsiaTheme="majorEastAsia"/>
                <w:color w:val="000000"/>
                <w:szCs w:val="21"/>
              </w:rPr>
            </w:pPr>
          </w:p>
        </w:tc>
        <w:tc>
          <w:tcPr>
            <w:tcW w:w="8578" w:type="dxa"/>
            <w:vAlign w:val="center"/>
          </w:tcPr>
          <w:p w14:paraId="3BE2872A">
            <w:pPr>
              <w:snapToGrid w:val="0"/>
              <w:spacing w:line="340" w:lineRule="exact"/>
              <w:jc w:val="left"/>
              <w:rPr>
                <w:rFonts w:cs="仿宋" w:asciiTheme="majorEastAsia" w:hAnsiTheme="majorEastAsia" w:eastAsiaTheme="majorEastAsia"/>
                <w:color w:val="000000"/>
                <w:szCs w:val="21"/>
              </w:rPr>
            </w:pPr>
          </w:p>
        </w:tc>
      </w:tr>
    </w:tbl>
    <w:p w14:paraId="0DD7E057">
      <w:pPr>
        <w:rPr>
          <w:rFonts w:asciiTheme="majorEastAsia" w:hAnsiTheme="majorEastAsia" w:eastAsiaTheme="majorEastAsia"/>
        </w:rPr>
      </w:pPr>
    </w:p>
    <w:p w14:paraId="74D61BFA">
      <w:bookmarkStart w:id="0" w:name="_GoBack"/>
      <w:bookmarkEnd w:id="0"/>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MGE3OGI5OThmNmYyMzhmNzBhZWI0ZGUwNjMzZTQifQ=="/>
  </w:docVars>
  <w:rsids>
    <w:rsidRoot w:val="001C6A70"/>
    <w:rsid w:val="00026E79"/>
    <w:rsid w:val="0003578D"/>
    <w:rsid w:val="000602C6"/>
    <w:rsid w:val="00067093"/>
    <w:rsid w:val="00071930"/>
    <w:rsid w:val="000933D4"/>
    <w:rsid w:val="00095668"/>
    <w:rsid w:val="000C0718"/>
    <w:rsid w:val="000C2F69"/>
    <w:rsid w:val="00105C5A"/>
    <w:rsid w:val="00124F8A"/>
    <w:rsid w:val="00130F34"/>
    <w:rsid w:val="00136AAD"/>
    <w:rsid w:val="00140B69"/>
    <w:rsid w:val="001606D4"/>
    <w:rsid w:val="001639A1"/>
    <w:rsid w:val="00176DAA"/>
    <w:rsid w:val="00187CB2"/>
    <w:rsid w:val="001C5EEF"/>
    <w:rsid w:val="001C6A70"/>
    <w:rsid w:val="002358CB"/>
    <w:rsid w:val="00255B89"/>
    <w:rsid w:val="00277F03"/>
    <w:rsid w:val="00292DF1"/>
    <w:rsid w:val="002A7C48"/>
    <w:rsid w:val="002B11B5"/>
    <w:rsid w:val="002E0A5D"/>
    <w:rsid w:val="00315C88"/>
    <w:rsid w:val="00317EFD"/>
    <w:rsid w:val="003227A3"/>
    <w:rsid w:val="003234D8"/>
    <w:rsid w:val="00323969"/>
    <w:rsid w:val="00354095"/>
    <w:rsid w:val="003862DE"/>
    <w:rsid w:val="003B164B"/>
    <w:rsid w:val="003B47A4"/>
    <w:rsid w:val="003D30B2"/>
    <w:rsid w:val="003E0594"/>
    <w:rsid w:val="003E069C"/>
    <w:rsid w:val="00404987"/>
    <w:rsid w:val="00416C69"/>
    <w:rsid w:val="00462CE8"/>
    <w:rsid w:val="004639D3"/>
    <w:rsid w:val="00472ECA"/>
    <w:rsid w:val="0047584D"/>
    <w:rsid w:val="004F290A"/>
    <w:rsid w:val="00510EBB"/>
    <w:rsid w:val="00527723"/>
    <w:rsid w:val="005309A9"/>
    <w:rsid w:val="005805B3"/>
    <w:rsid w:val="005B22EB"/>
    <w:rsid w:val="005B58D1"/>
    <w:rsid w:val="005D1A2A"/>
    <w:rsid w:val="005F083A"/>
    <w:rsid w:val="00630E4B"/>
    <w:rsid w:val="0068178B"/>
    <w:rsid w:val="006945F4"/>
    <w:rsid w:val="006A4290"/>
    <w:rsid w:val="006C78DA"/>
    <w:rsid w:val="00763763"/>
    <w:rsid w:val="00783490"/>
    <w:rsid w:val="00847013"/>
    <w:rsid w:val="00872B97"/>
    <w:rsid w:val="00896D5A"/>
    <w:rsid w:val="008A163F"/>
    <w:rsid w:val="008C4A42"/>
    <w:rsid w:val="008D2B94"/>
    <w:rsid w:val="00903D6A"/>
    <w:rsid w:val="00960EA4"/>
    <w:rsid w:val="00962E78"/>
    <w:rsid w:val="009C3940"/>
    <w:rsid w:val="009D073F"/>
    <w:rsid w:val="009E240A"/>
    <w:rsid w:val="009E6F82"/>
    <w:rsid w:val="00A24C03"/>
    <w:rsid w:val="00A474CD"/>
    <w:rsid w:val="00A47A0E"/>
    <w:rsid w:val="00AE0075"/>
    <w:rsid w:val="00AE4BA3"/>
    <w:rsid w:val="00AF50EC"/>
    <w:rsid w:val="00BB4CFD"/>
    <w:rsid w:val="00C269F5"/>
    <w:rsid w:val="00C30AA5"/>
    <w:rsid w:val="00C81163"/>
    <w:rsid w:val="00C96467"/>
    <w:rsid w:val="00CA6E18"/>
    <w:rsid w:val="00CD6F18"/>
    <w:rsid w:val="00D17A31"/>
    <w:rsid w:val="00D224D0"/>
    <w:rsid w:val="00D57FC7"/>
    <w:rsid w:val="00D614EC"/>
    <w:rsid w:val="00DB3601"/>
    <w:rsid w:val="00DC05C1"/>
    <w:rsid w:val="00DF0FDE"/>
    <w:rsid w:val="00EA19F8"/>
    <w:rsid w:val="00EB0608"/>
    <w:rsid w:val="00EB1873"/>
    <w:rsid w:val="00EF0C2E"/>
    <w:rsid w:val="00EF3B3F"/>
    <w:rsid w:val="00F125D3"/>
    <w:rsid w:val="00F14FDE"/>
    <w:rsid w:val="00F82699"/>
    <w:rsid w:val="00FB0240"/>
    <w:rsid w:val="00FC11F5"/>
    <w:rsid w:val="00FC2A4F"/>
    <w:rsid w:val="00FE2D77"/>
    <w:rsid w:val="05ED4D95"/>
    <w:rsid w:val="0C264442"/>
    <w:rsid w:val="1BEC7C12"/>
    <w:rsid w:val="1F9951FF"/>
    <w:rsid w:val="20D364EF"/>
    <w:rsid w:val="242E1C8E"/>
    <w:rsid w:val="26780336"/>
    <w:rsid w:val="2AFC274D"/>
    <w:rsid w:val="347B15F3"/>
    <w:rsid w:val="48C51933"/>
    <w:rsid w:val="48EB4026"/>
    <w:rsid w:val="4B646D6B"/>
    <w:rsid w:val="4F70298A"/>
    <w:rsid w:val="585F6BA0"/>
    <w:rsid w:val="5A0802B0"/>
    <w:rsid w:val="6AA41FBE"/>
    <w:rsid w:val="6E7C509D"/>
    <w:rsid w:val="71995F66"/>
    <w:rsid w:val="737538EA"/>
    <w:rsid w:val="767B07C5"/>
    <w:rsid w:val="768A40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A01CD-C6EF-4BA4-BD5C-F1E59C10D4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1344</Words>
  <Characters>1404</Characters>
  <Lines>12</Lines>
  <Paragraphs>3</Paragraphs>
  <TotalTime>1</TotalTime>
  <ScaleCrop>false</ScaleCrop>
  <LinksUpToDate>false</LinksUpToDate>
  <CharactersWithSpaces>1404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2023-03-02T09:43:00Z</dcterms:created>
  <dc:creator>ID=rzbws</dc:creator>
  <cp:lastModifiedBy>Administrator</cp:lastModifiedBy>
  <dcterms:modified xsi:type="dcterms:W3CDTF">2024-10-28T09:09:43Z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A49C4118057047CD84FB3E86A58E77BE_13</vt:lpwstr>
  </property>
</Properties>
</file>